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464"/>
        <w:gridCol w:w="2400"/>
      </w:tblGrid>
      <w:tr>
        <w:trPr>
          <w:cantSplit/>
          <w:trHeight w:val="900" w:hRule="atLeast"/>
        </w:trPr>
        <w:tc>
          <w:tcPr>
            <w:tcW w:w="74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32"/>
                <w:szCs w:val="32"/>
                <w:rtl/>
                <w:lang w:bidi="ar-AE"/>
              </w:rPr>
              <w:t xml:space="preserve">نموذج إخلاء طرف موظف</w:t>
            </w:r>
          </w:p>
        </w:tc>
        <w:tc>
          <w:tcPr>
            <w:tcW w:w="2400" w:type="dxa"/>
            <w:tcBorders>
              <w:top w:val="dashed" w:sz="6" w:space="0" w:color="9FB0A9"/>
              <w:left w:val="dashed" w:sz="6" w:space="0" w:color="9FB0A9"/>
              <w:bottom w:val="dashed" w:sz="6" w:space="0" w:color="9FB0A9"/>
              <w:right w:val="dashed" w:sz="6" w:space="0" w:color="9FB0A9"/>
              <w:insideH w:val="nil"/>
              <w:insideV w:val="nil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شعار الشركة</w:t>
            </w:r>
          </w:p>
        </w:tc>
      </w:tr>
    </w:tbl>
    <w:p>
      <w:pPr>
        <w:bidi/>
        <w:spacing w:before="0" w:after="120"/>
      </w:pP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اسم الشركة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تاريخ النموذج</w:t>
            </w:r>
          </w:p>
        </w:tc>
      </w:tr>
    </w:tbl>
    <w:p>
      <w:pPr>
        <w:bidi/>
        <w:spacing w:before="0" w:after="120"/>
      </w:pPr>
    </w:p>
    <w:p>
      <w:pPr>
        <w:bidi/>
        <w:spacing w:before="0" w:after="120"/>
      </w:pPr>
      <w:r>
        <w:rPr>
          <w:color w:val="3B4A53"/>
          <w:sz w:val="19"/>
          <w:szCs w:val="19"/>
          <w:rtl/>
          <w:lang w:bidi="ar-AE"/>
        </w:rPr>
        <w:t xml:space="preserve">يُعبّأ نموذج واحد لكل موظف مغادر. يوقّع كل قسم بعد إخلاء البنود التي تخصه، وتحفظ الموارد البشرية النموذج الموقّع في ملف الموظف.</w:t>
      </w:r>
    </w:p>
    <w:p>
      <w:pPr>
        <w:keepNext/>
        <w:bidi/>
        <w:spacing w:before="220" w:after="100"/>
      </w:pPr>
      <w:r>
        <w:rPr>
          <w:b/>
          <w:bCs/>
          <w:color w:val="0B1F2A"/>
          <w:sz w:val="23"/>
          <w:szCs w:val="23"/>
          <w:rtl/>
          <w:lang w:bidi="ar-AE"/>
        </w:rPr>
        <w:t xml:space="preserve">1. بيانات الموظف وانتهاء الخدمة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اسم الموظف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الرقم الوظيفي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القسم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المسمى الوظيفي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تاريخ المباشرة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آخر يوم عمل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المدير المباشر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تاريخ تقديم الإنذار</w:t>
            </w:r>
          </w:p>
        </w:tc>
      </w:tr>
    </w:tbl>
    <w:p>
      <w:pPr>
        <w:bidi/>
        <w:spacing w:before="0" w:after="120"/>
      </w:pPr>
    </w:p>
    <w:p>
      <w:pPr>
        <w:bidi/>
        <w:spacing w:before="120" w:after="120"/>
      </w:pPr>
      <w:r>
        <w:rPr>
          <w:b/>
          <w:bCs/>
          <w:color w:val="0B1F2A"/>
          <w:sz w:val="19"/>
          <w:szCs w:val="19"/>
          <w:rtl/>
          <w:lang w:bidi="ar-AE"/>
        </w:rPr>
        <w:t xml:space="preserve">سبب انتهاء الخدمة:  </w:t>
      </w:r>
      <w:r>
        <w:rPr>
          <w:sz w:val="19"/>
          <w:szCs w:val="19"/>
          <w:rtl/>
          <w:lang w:bidi="ar-AE"/>
        </w:rPr>
        <w:t xml:space="preserve">☐ استقالة     </w:t>
      </w:r>
      <w:r>
        <w:rPr>
          <w:sz w:val="19"/>
          <w:szCs w:val="19"/>
          <w:rtl/>
          <w:lang w:bidi="ar-AE"/>
        </w:rPr>
        <w:t xml:space="preserve">☐ إنهاء خدمة     </w:t>
      </w:r>
      <w:r>
        <w:rPr>
          <w:sz w:val="19"/>
          <w:szCs w:val="19"/>
          <w:rtl/>
          <w:lang w:bidi="ar-AE"/>
        </w:rPr>
        <w:t xml:space="preserve">☐ انتهاء العقد     </w:t>
      </w:r>
      <w:r>
        <w:rPr>
          <w:sz w:val="19"/>
          <w:szCs w:val="19"/>
          <w:rtl/>
          <w:lang w:bidi="ar-AE"/>
        </w:rPr>
        <w:t xml:space="preserve">☐ تقاعد     </w:t>
      </w:r>
      <w:r>
        <w:rPr>
          <w:sz w:val="19"/>
          <w:szCs w:val="19"/>
          <w:rtl/>
          <w:lang w:bidi="ar-AE"/>
        </w:rPr>
        <w:t xml:space="preserve">☐ أخرى     </w:t>
      </w:r>
    </w:p>
    <w:p>
      <w:pPr>
        <w:keepNext/>
        <w:bidi/>
        <w:spacing w:before="220" w:after="100"/>
      </w:pPr>
      <w:r>
        <w:rPr>
          <w:b/>
          <w:bCs/>
          <w:color w:val="0B1F2A"/>
          <w:sz w:val="23"/>
          <w:szCs w:val="23"/>
          <w:rtl/>
          <w:lang w:bidi="ar-AE"/>
        </w:rPr>
        <w:t xml:space="preserve">2. توقيعات الأقسام</w:t>
      </w:r>
    </w:p>
    <w:tbl>
      <w:tblPr>
        <w:bidiVisual/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72"/>
        <w:gridCol w:w="3255"/>
        <w:gridCol w:w="1775"/>
        <w:gridCol w:w="1479"/>
        <w:gridCol w:w="1383"/>
      </w:tblGrid>
      <w:tr>
        <w:trPr>
          <w:cantSplit/>
          <w:tblHeader/>
        </w:trPr>
        <w:tc>
          <w:tcPr>
            <w:tcW w:w="1972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القسم</w:t>
            </w:r>
          </w:p>
        </w:tc>
        <w:tc>
          <w:tcPr>
            <w:tcW w:w="3255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البنود المطلوب إخلاؤها</w:t>
            </w:r>
          </w:p>
        </w:tc>
        <w:tc>
          <w:tcPr>
            <w:tcW w:w="1775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تم الإخلاء بواسطة</w:t>
            </w:r>
          </w:p>
        </w:tc>
        <w:tc>
          <w:tcPr>
            <w:tcW w:w="1479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التوقيع</w:t>
            </w:r>
          </w:p>
        </w:tc>
        <w:tc>
          <w:tcPr>
            <w:tcW w:w="1383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التاريخ</w:t>
            </w: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المدير المباشر</w:t>
            </w:r>
          </w:p>
        </w:tc>
        <w:tc>
          <w:tcPr>
            <w:tcW w:w="3255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تسليم الأعمال والمهام المفتوحة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479" w:type="dxa"/>
          </w:tcPr>
          <w:p>
            <w:pPr>
              <w:bidi/>
              <w:spacing w:before="0" w:after="0"/>
            </w:pPr>
          </w:p>
        </w:tc>
        <w:tc>
          <w:tcPr>
            <w:tcW w:w="1383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تقنية المعلومات</w:t>
            </w:r>
          </w:p>
        </w:tc>
        <w:tc>
          <w:tcPr>
            <w:tcW w:w="3255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الحاسوب والهاتف والبريد وصلاحيات الأنظمة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479" w:type="dxa"/>
          </w:tcPr>
          <w:p>
            <w:pPr>
              <w:bidi/>
              <w:spacing w:before="0" w:after="0"/>
            </w:pPr>
          </w:p>
        </w:tc>
        <w:tc>
          <w:tcPr>
            <w:tcW w:w="1383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الشؤون الإدارية</w:t>
            </w:r>
          </w:p>
        </w:tc>
        <w:tc>
          <w:tcPr>
            <w:tcW w:w="3255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بطاقة الموظف والمفاتيح وبطاقة الدخول والزي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479" w:type="dxa"/>
          </w:tcPr>
          <w:p>
            <w:pPr>
              <w:bidi/>
              <w:spacing w:before="0" w:after="0"/>
            </w:pPr>
          </w:p>
        </w:tc>
        <w:tc>
          <w:tcPr>
            <w:tcW w:w="1383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العمليات</w:t>
            </w:r>
          </w:p>
        </w:tc>
        <w:tc>
          <w:tcPr>
            <w:tcW w:w="3255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العدد والأدوات ومفاتيح المركبة وبطاقة الوقود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479" w:type="dxa"/>
          </w:tcPr>
          <w:p>
            <w:pPr>
              <w:bidi/>
              <w:spacing w:before="0" w:after="0"/>
            </w:pPr>
          </w:p>
        </w:tc>
        <w:tc>
          <w:tcPr>
            <w:tcW w:w="1383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المالية</w:t>
            </w:r>
          </w:p>
        </w:tc>
        <w:tc>
          <w:tcPr>
            <w:tcW w:w="3255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السلف والقروض والعهد النقدية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479" w:type="dxa"/>
          </w:tcPr>
          <w:p>
            <w:pPr>
              <w:bidi/>
              <w:spacing w:before="0" w:after="0"/>
            </w:pPr>
          </w:p>
        </w:tc>
        <w:tc>
          <w:tcPr>
            <w:tcW w:w="1383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الموارد البشرية</w:t>
            </w:r>
          </w:p>
        </w:tc>
        <w:tc>
          <w:tcPr>
            <w:tcW w:w="3255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رصيد الإجازات والتسوية النهائية وإلغاء التأشيرة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479" w:type="dxa"/>
          </w:tcPr>
          <w:p>
            <w:pPr>
              <w:bidi/>
              <w:spacing w:before="0" w:after="0"/>
            </w:pPr>
          </w:p>
        </w:tc>
        <w:tc>
          <w:tcPr>
            <w:tcW w:w="1383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80"/>
      </w:pPr>
    </w:p>
    <w:p>
      <w:pPr>
        <w:keepNext/>
        <w:bidi/>
        <w:spacing w:before="220" w:after="100"/>
      </w:pPr>
      <w:r>
        <w:rPr>
          <w:b/>
          <w:bCs/>
          <w:color w:val="0B1F2A"/>
          <w:sz w:val="23"/>
          <w:szCs w:val="23"/>
          <w:rtl/>
          <w:lang w:bidi="ar-AE"/>
        </w:rPr>
        <w:t xml:space="preserve">3. استلام عهدة الشركة</w:t>
      </w:r>
    </w:p>
    <w:p>
      <w:pPr>
        <w:bidi/>
        <w:spacing w:before="0" w:after="80"/>
      </w:pPr>
      <w:r>
        <w:rPr>
          <w:color w:val="5D6B73"/>
          <w:sz w:val="16"/>
          <w:szCs w:val="16"/>
          <w:rtl/>
          <w:lang w:bidi="ar-AE"/>
        </w:rPr>
        <w:t xml:space="preserve">مثل الحاسوب والهاتف والمفاتيح وبطاقات الدخول والزي والأدوات وبطاقات الوقود.</w:t>
      </w:r>
    </w:p>
    <w:tbl>
      <w:tblPr>
        <w:bidiVisual/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959"/>
        <w:gridCol w:w="1775"/>
        <w:gridCol w:w="1578"/>
        <w:gridCol w:w="1578"/>
        <w:gridCol w:w="1974"/>
      </w:tblGrid>
      <w:tr>
        <w:trPr>
          <w:cantSplit/>
          <w:tblHeader/>
        </w:trPr>
        <w:tc>
          <w:tcPr>
            <w:tcW w:w="2959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البند</w:t>
            </w:r>
          </w:p>
        </w:tc>
        <w:tc>
          <w:tcPr>
            <w:tcW w:w="1775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الرقم التسلسلي</w:t>
            </w:r>
          </w:p>
        </w:tc>
        <w:tc>
          <w:tcPr>
            <w:tcW w:w="1578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تاريخ الإرجاع</w:t>
            </w:r>
          </w:p>
        </w:tc>
        <w:tc>
          <w:tcPr>
            <w:tcW w:w="1578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الحالة</w:t>
            </w:r>
          </w:p>
        </w:tc>
        <w:tc>
          <w:tcPr>
            <w:tcW w:w="1974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استلمه</w:t>
            </w: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bidi/>
              <w:spacing w:before="0" w:after="0"/>
            </w:pP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974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bidi/>
              <w:spacing w:before="0" w:after="0"/>
            </w:pP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974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bidi/>
              <w:spacing w:before="0" w:after="0"/>
            </w:pP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974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bidi/>
              <w:spacing w:before="0" w:after="0"/>
            </w:pP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974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bidi/>
              <w:spacing w:before="0" w:after="0"/>
            </w:pP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974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bidi/>
              <w:spacing w:before="0" w:after="0"/>
            </w:pP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578" w:type="dxa"/>
          </w:tcPr>
          <w:p>
            <w:pPr>
              <w:bidi/>
              <w:spacing w:before="0" w:after="0"/>
            </w:pPr>
          </w:p>
        </w:tc>
        <w:tc>
          <w:tcPr>
            <w:tcW w:w="1974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80"/>
      </w:pPr>
    </w:p>
    <w:p>
      <w:pPr>
        <w:keepNext/>
        <w:bidi/>
        <w:spacing w:before="220" w:after="100"/>
      </w:pPr>
      <w:r>
        <w:rPr>
          <w:b/>
          <w:bCs/>
          <w:color w:val="0B1F2A"/>
          <w:sz w:val="23"/>
          <w:szCs w:val="23"/>
          <w:rtl/>
          <w:lang w:bidi="ar-AE"/>
        </w:rPr>
        <w:t xml:space="preserve">4. إلغاء الصلاحيات</w:t>
      </w:r>
    </w:p>
    <w:tbl>
      <w:tblPr>
        <w:bidiVisual/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945"/>
        <w:gridCol w:w="1775"/>
        <w:gridCol w:w="2367"/>
        <w:gridCol w:w="1777"/>
      </w:tblGrid>
      <w:tr>
        <w:trPr>
          <w:cantSplit/>
          <w:tblHeader/>
        </w:trPr>
        <w:tc>
          <w:tcPr>
            <w:tcW w:w="3945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الصلاحية</w:t>
            </w:r>
          </w:p>
        </w:tc>
        <w:tc>
          <w:tcPr>
            <w:tcW w:w="1775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تاريخ الإلغاء</w:t>
            </w:r>
          </w:p>
        </w:tc>
        <w:tc>
          <w:tcPr>
            <w:tcW w:w="2367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ألغاها</w:t>
            </w:r>
          </w:p>
        </w:tc>
        <w:tc>
          <w:tcPr>
            <w:tcW w:w="1777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التوقيع</w:t>
            </w: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البريد الإلكتروني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777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أنظمة العمل والبرامج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777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بطاقة الدخول وصلاحية دخول المبنى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777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المفاتيح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777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الحسابات المشتركة: تغيير كلمات المرور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777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bidi/>
              <w:spacing w:before="0" w:after="0"/>
            </w:pP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777" w:type="dxa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bidi/>
              <w:spacing w:before="0" w:after="0"/>
            </w:pPr>
          </w:p>
        </w:tc>
        <w:tc>
          <w:tcPr>
            <w:tcW w:w="1775" w:type="dxa"/>
          </w:tcPr>
          <w:p>
            <w:pPr>
              <w:bidi/>
              <w:spacing w:before="0" w:after="0"/>
            </w:pPr>
          </w:p>
        </w:tc>
        <w:tc>
          <w:tcPr>
            <w:tcW w:w="2367" w:type="dxa"/>
          </w:tcPr>
          <w:p>
            <w:pPr>
              <w:bidi/>
              <w:spacing w:before="0" w:after="0"/>
            </w:pPr>
          </w:p>
        </w:tc>
        <w:tc>
          <w:tcPr>
            <w:tcW w:w="1777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80"/>
      </w:pPr>
    </w:p>
    <w:p>
      <w:pPr>
        <w:keepNext/>
        <w:bidi/>
        <w:spacing w:before="220" w:after="100"/>
      </w:pPr>
      <w:r>
        <w:rPr>
          <w:b/>
          <w:bCs/>
          <w:color w:val="0B1F2A"/>
          <w:sz w:val="23"/>
          <w:szCs w:val="23"/>
          <w:rtl/>
          <w:lang w:bidi="ar-AE"/>
        </w:rPr>
        <w:t xml:space="preserve">5. التسوية النهائية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مبلغ التسوية النهائية (درهم)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تاريخ الدفع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طريقة الدفع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المرجع</w:t>
            </w:r>
          </w:p>
        </w:tc>
      </w:tr>
    </w:tbl>
    <w:p>
      <w:pPr>
        <w:bidi/>
        <w:spacing w:before="0" w:after="120"/>
      </w:pPr>
    </w:p>
    <w:p>
      <w:pPr>
        <w:bidi/>
        <w:spacing w:before="0" w:after="120"/>
      </w:pPr>
      <w:r>
        <w:rPr>
          <w:color w:val="5D6B73"/>
          <w:sz w:val="16"/>
          <w:szCs w:val="16"/>
          <w:rtl/>
          <w:lang w:bidi="ar-AE"/>
        </w:rPr>
        <w:t xml:space="preserve">تُستحق التسوية النهائية خلال 14 يومًا من تاريخ انتهاء العقد (المرسوم بقانون اتحادي رقم 33 لسنة 2021، المادة 53).</w:t>
      </w:r>
    </w:p>
    <w:p>
      <w:pPr>
        <w:bidi/>
        <w:spacing w:before="160" w:after="120"/>
      </w:pPr>
      <w:r>
        <w:rPr>
          <w:color w:val="0B1F2A"/>
          <w:sz w:val="19"/>
          <w:szCs w:val="19"/>
          <w:rtl/>
          <w:lang w:bidi="ar-AE"/>
        </w:rPr>
        <w:t xml:space="preserve">أقرّ بأنني سلّمت جميع ممتلكات الشركة التي في عهدتي، وأنه تم شرح مستحقاتي النهائية لي.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32"/>
        <w:gridCol w:w="400"/>
        <w:gridCol w:w="4732"/>
      </w:tblGrid>
      <w:tr>
        <w:trPr>
          <w:cantSplit/>
          <w:trHeight w:val="900" w:hRule="atLeast"/>
        </w:trPr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</w:tr>
      <w:tr>
        <w:trPr>
          <w:cantSplit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  <w:rtl/>
                <w:lang w:bidi="ar-AE"/>
              </w:rPr>
              <w:t xml:space="preserve">توقيع الموظف والتاريخ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  <w:rtl/>
                <w:lang w:bidi="ar-AE"/>
              </w:rPr>
              <w:t xml:space="preserve">اعتماد الموارد البشرية والتاريخ</w:t>
            </w:r>
          </w:p>
        </w:tc>
      </w:tr>
    </w:tbl>
    <w:p>
      <w:pPr>
        <w:bidi/>
        <w:spacing w:before="0" w:after="120"/>
      </w:pPr>
    </w:p>
    <w:sectPr>
      <w:footerReference w:type="default" r:id="rIdFooter"/>
      <w:pgSz w:w="11906" w:h="16838"/>
      <w:pgMar w:top="1021" w:right="1021" w:bottom="1021" w:left="1021" w:header="567" w:footer="567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</w:pPr>
    <w:r>
      <w:rPr>
        <w:color w:val="6B7980"/>
        <w:sz w:val="14"/>
        <w:szCs w:val="14"/>
        <w:rtl/>
        <w:lang w:bidi="ar-AE"/>
      </w:rPr>
      <w:t xml:space="preserve">أُعدّ باستخدام ValiCrew · valicrew.com</w:t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themeFontLang w:val="en-GB" w:bidi="ar-AE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B4A53"/>
        <w:sz w:val="19"/>
        <w:szCs w:val="19"/>
        <w:lang w:val="en-GB" w:bidi="ar-AE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نموذج إخلاء طرف موظف</dc:title>
  <dc:language>ar-AE</dc:language>
  <dcterms:created xsi:type="dcterms:W3CDTF">2026-10-05T00:00:00Z</dcterms:created>
  <dcterms:modified xsi:type="dcterms:W3CDTF">2026-10-05T00:00:00Z</dcterms:modified>
</cp:coreProperties>
</file>